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404" w:rsidRDefault="00114284" w:rsidP="0046764C">
      <w:pPr>
        <w:pStyle w:val="Salutation"/>
      </w:pPr>
      <w:bookmarkStart w:id="0" w:name="_GoBack"/>
      <w:bookmarkEnd w:id="0"/>
      <w:r>
        <w:t>Geachte voorzitter,</w:t>
      </w:r>
    </w:p>
    <w:p w:rsidR="00740AE3" w:rsidRDefault="00B72DE6" w:rsidP="0046764C">
      <w:pPr>
        <w:pStyle w:val="Salutation"/>
      </w:pPr>
      <w:r>
        <w:t>Hierbij stuur</w:t>
      </w:r>
      <w:r w:rsidR="00740AE3">
        <w:t xml:space="preserve"> ik </w:t>
      </w:r>
      <w:r w:rsidR="009C5C91">
        <w:t xml:space="preserve">u </w:t>
      </w:r>
      <w:r w:rsidR="00740AE3">
        <w:t xml:space="preserve">het </w:t>
      </w:r>
      <w:r w:rsidR="00740AE3" w:rsidRPr="00740AE3">
        <w:rPr>
          <w:i/>
        </w:rPr>
        <w:t>Onderzoeksrapport Stichting Waternet</w:t>
      </w:r>
      <w:r w:rsidR="00740AE3">
        <w:t xml:space="preserve"> van de Inspectie Leefomgeving en Transport (ILT).</w:t>
      </w:r>
    </w:p>
    <w:p w:rsidR="00740AE3" w:rsidRDefault="00740AE3" w:rsidP="0046764C">
      <w:pPr>
        <w:spacing w:line="240" w:lineRule="exact"/>
      </w:pPr>
      <w:r>
        <w:t xml:space="preserve">In het Wetgevingsoverleg Water d.d. 1 december 2020 als ook in reactie op schriftelijke vragen van het lid Van Brenk (50PLUS, beantwoord op </w:t>
      </w:r>
      <w:r w:rsidRPr="00740AE3">
        <w:t>10 november 2020</w:t>
      </w:r>
      <w:r w:rsidRPr="00740AE3">
        <w:rPr>
          <w:vertAlign w:val="superscript"/>
        </w:rPr>
        <w:footnoteReference w:id="1"/>
      </w:r>
      <w:r w:rsidRPr="00740AE3">
        <w:t xml:space="preserve"> en op 5 maart 2021</w:t>
      </w:r>
      <w:r w:rsidRPr="00740AE3">
        <w:rPr>
          <w:vertAlign w:val="superscript"/>
        </w:rPr>
        <w:footnoteReference w:id="2"/>
      </w:r>
      <w:r>
        <w:t>) heb ik u toegezegd uw Kamer over de uitkomsten van het ILT-onderzoek te informeren.</w:t>
      </w:r>
    </w:p>
    <w:p w:rsidR="00740AE3" w:rsidRDefault="00740AE3" w:rsidP="0046764C">
      <w:pPr>
        <w:spacing w:line="240" w:lineRule="exact"/>
      </w:pPr>
    </w:p>
    <w:p w:rsidR="0006209A" w:rsidRDefault="0015454D" w:rsidP="0046764C">
      <w:pPr>
        <w:spacing w:line="240" w:lineRule="exact"/>
      </w:pPr>
      <w:r>
        <w:t xml:space="preserve">De ILT </w:t>
      </w:r>
      <w:r w:rsidR="00740AE3">
        <w:t xml:space="preserve">concludeert </w:t>
      </w:r>
      <w:r w:rsidR="00740AE3" w:rsidRPr="00110063">
        <w:t>dat de drinkwaterorganisatie</w:t>
      </w:r>
      <w:r w:rsidR="00740AE3">
        <w:t xml:space="preserve"> van</w:t>
      </w:r>
      <w:r w:rsidR="00740AE3" w:rsidRPr="00110063">
        <w:t xml:space="preserve"> Waternet zowel op bestuurlijk als organisatorisch niveau onvoldoende grip heeft op de eigen cybersecurity.</w:t>
      </w:r>
      <w:r w:rsidR="0006209A" w:rsidRPr="00110063">
        <w:t xml:space="preserve"> Dit wordt veroorzaakt door een </w:t>
      </w:r>
      <w:r w:rsidR="0006209A">
        <w:t>aantal</w:t>
      </w:r>
      <w:r w:rsidR="0006209A" w:rsidRPr="00110063">
        <w:t xml:space="preserve"> </w:t>
      </w:r>
      <w:r w:rsidR="0006209A">
        <w:t xml:space="preserve">tekortkomingen </w:t>
      </w:r>
      <w:r w:rsidR="0006209A" w:rsidRPr="00110063">
        <w:t xml:space="preserve">in </w:t>
      </w:r>
      <w:r w:rsidR="0006209A">
        <w:t xml:space="preserve">de uitvoering van </w:t>
      </w:r>
      <w:r w:rsidR="0006209A" w:rsidRPr="00110063">
        <w:t xml:space="preserve">de wettelijke zorg- en meldplicht </w:t>
      </w:r>
      <w:r w:rsidR="0006209A">
        <w:t>ingevolge de Wet beveiliging netwerk- en informatiesystemen (Wbni) en i</w:t>
      </w:r>
      <w:r w:rsidR="0006209A" w:rsidRPr="00110063">
        <w:t>n de besturing van de organisatie</w:t>
      </w:r>
      <w:r w:rsidR="0006209A">
        <w:t xml:space="preserve"> ingevolge de Drinkwaterwet en Wbni</w:t>
      </w:r>
      <w:r w:rsidR="0006209A" w:rsidRPr="00110063">
        <w:t xml:space="preserve">. Dit </w:t>
      </w:r>
      <w:r w:rsidR="0006209A">
        <w:t xml:space="preserve">vormt </w:t>
      </w:r>
      <w:r w:rsidR="0006209A" w:rsidRPr="00110063">
        <w:t>een risico</w:t>
      </w:r>
      <w:r w:rsidR="0006209A">
        <w:t xml:space="preserve"> </w:t>
      </w:r>
      <w:r w:rsidR="0006209A" w:rsidRPr="00110063">
        <w:t>voor de waarborging van de kwaliteit en leveringszekerheid van drinkwater.</w:t>
      </w:r>
    </w:p>
    <w:p w:rsidR="0006209A" w:rsidRDefault="0006209A" w:rsidP="0046764C">
      <w:pPr>
        <w:spacing w:line="240" w:lineRule="exact"/>
      </w:pPr>
    </w:p>
    <w:p w:rsidR="0006209A" w:rsidRDefault="0006209A" w:rsidP="0046764C">
      <w:pPr>
        <w:spacing w:line="240" w:lineRule="exact"/>
      </w:pPr>
      <w:r w:rsidRPr="008D50D5">
        <w:t xml:space="preserve">De belangrijkste tekortkomingen in de zorgplicht zijn: onvoldoende risicomanagement, onvoldoende evaluatie en </w:t>
      </w:r>
      <w:r w:rsidRPr="00BF02F4">
        <w:t>verbeterprocessen en beperkingen in detectie en incident-response. Voor wat betreft de meldplicht is te verwachten dat daadwerkelijke incidenten die boven de drempelwaarde uitstijgen, volgens de juiste procedure worden gemeld. Waternet heeft echter nog geen procedure voor het melden van ICT-inbreuken die aanzienlijke gevolgen voor de continuïteit van de drinkwaterlevering kunnen hebben. Daardoor kan het mogelijk langer duren voordat incidenten zijn opgelost en kunnen de gevolgen van incidenten onnodig groter worden. Naast deze tekortkomingen constateert de ILT dat integraal toezicht in het</w:t>
      </w:r>
      <w:r w:rsidRPr="001D6E32">
        <w:t xml:space="preserve"> ontwerp van de bestuurlijke structuur op de drinkwatertaak ontbreekt</w:t>
      </w:r>
      <w:r>
        <w:t>. E</w:t>
      </w:r>
      <w:r w:rsidRPr="001D6E32">
        <w:t xml:space="preserve">r </w:t>
      </w:r>
      <w:r>
        <w:t xml:space="preserve">vindt onvoldoende </w:t>
      </w:r>
      <w:r w:rsidRPr="001D6E32">
        <w:t>gestructureerd risicomanagement</w:t>
      </w:r>
      <w:r>
        <w:t>,</w:t>
      </w:r>
      <w:r w:rsidR="00423F76">
        <w:t xml:space="preserve"> </w:t>
      </w:r>
      <w:r w:rsidRPr="001D6E32">
        <w:t xml:space="preserve">evaluatie en bijsturing </w:t>
      </w:r>
      <w:r>
        <w:t>plaats. De drinkwatertaak en cybersecurity worden o</w:t>
      </w:r>
      <w:r w:rsidRPr="001D6E32">
        <w:t xml:space="preserve">p strategisch </w:t>
      </w:r>
      <w:r w:rsidRPr="001D6E32">
        <w:lastRenderedPageBreak/>
        <w:t xml:space="preserve">niveau </w:t>
      </w:r>
      <w:r>
        <w:t>onvoldoende gewaarborgd, de b</w:t>
      </w:r>
      <w:r w:rsidRPr="001D6E32">
        <w:t xml:space="preserve">orging van drinkwaterprocessen vindt vooral op operationeel niveau plaats. </w:t>
      </w:r>
    </w:p>
    <w:p w:rsidR="0006209A" w:rsidRDefault="0006209A" w:rsidP="0046764C">
      <w:pPr>
        <w:spacing w:line="240" w:lineRule="exact"/>
      </w:pPr>
    </w:p>
    <w:p w:rsidR="001E2E17" w:rsidRDefault="001E2E17" w:rsidP="0046764C">
      <w:pPr>
        <w:spacing w:line="240" w:lineRule="exact"/>
      </w:pPr>
      <w:r>
        <w:t xml:space="preserve">De ILT </w:t>
      </w:r>
      <w:r w:rsidR="0006209A">
        <w:t xml:space="preserve">constateert </w:t>
      </w:r>
      <w:r>
        <w:t xml:space="preserve">dat </w:t>
      </w:r>
      <w:r w:rsidRPr="00865C96">
        <w:t>Waternet inmiddels een aantal stappen</w:t>
      </w:r>
      <w:r>
        <w:t xml:space="preserve"> heeft</w:t>
      </w:r>
      <w:r w:rsidRPr="00865C96">
        <w:t xml:space="preserve"> gezet ter verbetering van de </w:t>
      </w:r>
      <w:r>
        <w:t xml:space="preserve">tekortkomingen in de uitvoering van de wettelijke </w:t>
      </w:r>
      <w:r w:rsidRPr="00865C96">
        <w:t>zorg</w:t>
      </w:r>
      <w:r>
        <w:t>plicht e</w:t>
      </w:r>
      <w:r w:rsidRPr="00865C96">
        <w:t xml:space="preserve">n meldplicht. Tevens </w:t>
      </w:r>
      <w:r>
        <w:t>evalueert Waternet</w:t>
      </w:r>
      <w:r w:rsidRPr="00865C96">
        <w:t xml:space="preserve"> het besturingsmodel</w:t>
      </w:r>
      <w:r>
        <w:t xml:space="preserve">. </w:t>
      </w:r>
      <w:r w:rsidRPr="00865C96">
        <w:t xml:space="preserve">De ILT vindt dit een positieve ontwikkeling, maar benadrukt het belang om zo snel mogelijk voldoende grip te hebben op het uitvoeren van verbeteringen, hier voldoende inzicht in te hebben en indien nodig tijdig bij te sturen. </w:t>
      </w:r>
    </w:p>
    <w:p w:rsidR="0015454D" w:rsidRDefault="0015454D" w:rsidP="0046764C">
      <w:pPr>
        <w:spacing w:line="240" w:lineRule="exact"/>
      </w:pPr>
    </w:p>
    <w:p w:rsidR="00740AE3" w:rsidRDefault="00091BB8" w:rsidP="0046764C">
      <w:pPr>
        <w:spacing w:line="240" w:lineRule="exact"/>
      </w:pPr>
      <w:r w:rsidRPr="00865C96">
        <w:t xml:space="preserve">De ILT stelt Waternet </w:t>
      </w:r>
      <w:r>
        <w:t xml:space="preserve">daarom </w:t>
      </w:r>
      <w:r w:rsidRPr="00865C96">
        <w:t>de komende periode onder verscherpt toezicht</w:t>
      </w:r>
      <w:r>
        <w:t>. Dit houdt in dat de ILT</w:t>
      </w:r>
      <w:r w:rsidRPr="00865C96">
        <w:t xml:space="preserve"> gaat toezien op de verbetering van de </w:t>
      </w:r>
      <w:r>
        <w:t xml:space="preserve">uitvoering van de wettelijke zorgplicht en </w:t>
      </w:r>
      <w:r w:rsidRPr="00865C96">
        <w:t>meldplicht en de besturing.</w:t>
      </w:r>
      <w:r>
        <w:t xml:space="preserve"> Hierbij </w:t>
      </w:r>
      <w:r w:rsidRPr="001C41C3">
        <w:rPr>
          <w:rFonts w:eastAsiaTheme="minorHAnsi" w:cstheme="minorBidi"/>
          <w:color w:val="auto"/>
          <w:szCs w:val="22"/>
          <w:lang w:eastAsia="en-US"/>
        </w:rPr>
        <w:t xml:space="preserve">hoort de plicht tot het </w:t>
      </w:r>
      <w:r>
        <w:rPr>
          <w:rFonts w:eastAsiaTheme="minorHAnsi" w:cstheme="minorBidi"/>
          <w:color w:val="auto"/>
          <w:szCs w:val="22"/>
          <w:lang w:eastAsia="en-US"/>
        </w:rPr>
        <w:t xml:space="preserve">actualiseren </w:t>
      </w:r>
      <w:r w:rsidRPr="001C41C3">
        <w:rPr>
          <w:rFonts w:eastAsiaTheme="minorHAnsi" w:cstheme="minorBidi"/>
          <w:color w:val="auto"/>
          <w:szCs w:val="22"/>
          <w:lang w:eastAsia="en-US"/>
        </w:rPr>
        <w:t>en uitvoeren van een verbeterplan</w:t>
      </w:r>
      <w:r>
        <w:rPr>
          <w:rFonts w:eastAsiaTheme="minorHAnsi" w:cstheme="minorBidi"/>
          <w:color w:val="auto"/>
          <w:szCs w:val="22"/>
          <w:lang w:eastAsia="en-US"/>
        </w:rPr>
        <w:t xml:space="preserve"> voor de door de ILT geconstateerde tekortkomingen</w:t>
      </w:r>
      <w:r w:rsidRPr="001C41C3">
        <w:rPr>
          <w:rFonts w:eastAsiaTheme="minorHAnsi" w:cstheme="minorBidi"/>
          <w:color w:val="auto"/>
          <w:szCs w:val="22"/>
          <w:lang w:eastAsia="en-US"/>
        </w:rPr>
        <w:t>.</w:t>
      </w:r>
      <w:r>
        <w:rPr>
          <w:rFonts w:eastAsiaTheme="minorHAnsi" w:cstheme="minorBidi"/>
          <w:color w:val="auto"/>
          <w:szCs w:val="22"/>
          <w:lang w:eastAsia="en-US"/>
        </w:rPr>
        <w:t xml:space="preserve"> </w:t>
      </w:r>
      <w:r w:rsidR="00740AE3" w:rsidRPr="001C41C3">
        <w:rPr>
          <w:rFonts w:eastAsiaTheme="minorHAnsi" w:cstheme="minorBidi"/>
          <w:color w:val="auto"/>
          <w:szCs w:val="22"/>
          <w:lang w:eastAsia="en-US"/>
        </w:rPr>
        <w:t xml:space="preserve">De ILT beoordeelt het verbeterplan en houdt scherp in de gaten of de gemaakte plannen worden uitgevoerd. </w:t>
      </w:r>
      <w:r w:rsidR="006262F2">
        <w:rPr>
          <w:rFonts w:eastAsiaTheme="minorHAnsi" w:cstheme="minorBidi"/>
          <w:color w:val="auto"/>
          <w:szCs w:val="22"/>
          <w:lang w:eastAsia="en-US"/>
        </w:rPr>
        <w:t xml:space="preserve">Het verscherpt toezicht </w:t>
      </w:r>
      <w:r w:rsidR="006262F2">
        <w:t>zal duren tot het moment dat er weer sprake is van vertrouwen dat Waternet de leveringszekerheid en kwaliteit van drinkwater en de daarvoor benodigde besturing en processen, in het bijzonder die van cybersecurity, in voldoende mate op orde heeft.</w:t>
      </w:r>
    </w:p>
    <w:p w:rsidR="00091BB8" w:rsidRDefault="00091BB8" w:rsidP="0046764C">
      <w:pPr>
        <w:spacing w:line="240" w:lineRule="exact"/>
        <w:rPr>
          <w:rFonts w:eastAsiaTheme="minorHAnsi" w:cstheme="minorBidi"/>
          <w:color w:val="auto"/>
          <w:szCs w:val="22"/>
          <w:lang w:eastAsia="en-US"/>
        </w:rPr>
      </w:pPr>
    </w:p>
    <w:p w:rsidR="001E2E17" w:rsidRDefault="00091BB8" w:rsidP="0046764C">
      <w:pPr>
        <w:spacing w:line="240" w:lineRule="exact"/>
      </w:pPr>
      <w:r>
        <w:t>Mede gezien de uitkomsten van dit onderzoek, zal d</w:t>
      </w:r>
      <w:r w:rsidRPr="00B9145D">
        <w:t xml:space="preserve">e ILT in 2021 nader onderzoek instellen </w:t>
      </w:r>
      <w:r>
        <w:t xml:space="preserve">in hoeverre de </w:t>
      </w:r>
      <w:r w:rsidRPr="00B9145D">
        <w:t xml:space="preserve">andere </w:t>
      </w:r>
      <w:r>
        <w:t>aanbieders van essentiële diensten (AED’s) binnen het beleidsdomein van IenW, waaronder alle drinkwaterbedrijven, voldoen aan de zorg- en meldplicht uit de Wbni.</w:t>
      </w:r>
    </w:p>
    <w:p w:rsidR="00091BB8" w:rsidRDefault="00091BB8" w:rsidP="0046764C">
      <w:pPr>
        <w:spacing w:line="240" w:lineRule="exact"/>
      </w:pPr>
    </w:p>
    <w:p w:rsidR="00091BB8" w:rsidRPr="001C41C3" w:rsidRDefault="00091BB8" w:rsidP="0046764C">
      <w:pPr>
        <w:spacing w:line="240" w:lineRule="exact"/>
        <w:rPr>
          <w:rFonts w:eastAsiaTheme="minorHAnsi" w:cstheme="minorBidi"/>
          <w:color w:val="auto"/>
          <w:szCs w:val="22"/>
          <w:lang w:eastAsia="en-US"/>
        </w:rPr>
      </w:pPr>
      <w:r>
        <w:t>In navolging van mijn Kamerbrieven</w:t>
      </w:r>
      <w:r>
        <w:rPr>
          <w:rStyle w:val="FootnoteReference"/>
        </w:rPr>
        <w:footnoteReference w:id="3"/>
      </w:r>
      <w:r>
        <w:t xml:space="preserve"> van 22 juni en 4 november 2020 zal ik u na het meireces ten behoeve van het Algemeen Overleg Water en Wadden</w:t>
      </w:r>
      <w:r>
        <w:rPr>
          <w:rStyle w:val="FootnoteReference"/>
        </w:rPr>
        <w:footnoteReference w:id="4"/>
      </w:r>
      <w:r>
        <w:t xml:space="preserve"> schriftelijk nader informeren over de vervolgacties in het kader van het versterken van cybersecurity in watersector.</w:t>
      </w:r>
    </w:p>
    <w:p w:rsidR="00A65404" w:rsidRDefault="00114284" w:rsidP="0046764C">
      <w:pPr>
        <w:pStyle w:val="Slotzin"/>
      </w:pPr>
      <w:r>
        <w:t>Hoogachtend,</w:t>
      </w:r>
    </w:p>
    <w:p w:rsidR="00A65404" w:rsidRDefault="00114284" w:rsidP="0046764C">
      <w:pPr>
        <w:pStyle w:val="OndertekeningArea1"/>
      </w:pPr>
      <w:r>
        <w:t>DE MINISTER VAN INFRASTRUCTUUR EN WATERSTAAT,</w:t>
      </w:r>
    </w:p>
    <w:p w:rsidR="00A65404" w:rsidRDefault="00A65404" w:rsidP="0046764C">
      <w:pPr>
        <w:spacing w:line="240" w:lineRule="exact"/>
      </w:pPr>
    </w:p>
    <w:p w:rsidR="00A65404" w:rsidRDefault="00A65404" w:rsidP="0046764C">
      <w:pPr>
        <w:spacing w:line="240" w:lineRule="exact"/>
      </w:pPr>
    </w:p>
    <w:p w:rsidR="00A65404" w:rsidRDefault="00A65404" w:rsidP="0046764C">
      <w:pPr>
        <w:spacing w:line="240" w:lineRule="exact"/>
      </w:pPr>
    </w:p>
    <w:p w:rsidR="00A65404" w:rsidRDefault="00A65404" w:rsidP="0046764C">
      <w:pPr>
        <w:spacing w:line="240" w:lineRule="exact"/>
      </w:pPr>
    </w:p>
    <w:p w:rsidR="0046764C" w:rsidRDefault="0046764C" w:rsidP="0046764C">
      <w:pPr>
        <w:spacing w:line="240" w:lineRule="exact"/>
      </w:pPr>
    </w:p>
    <w:p w:rsidR="00A65404" w:rsidRDefault="00114284" w:rsidP="0046764C">
      <w:pPr>
        <w:spacing w:line="240" w:lineRule="exact"/>
      </w:pPr>
      <w:r>
        <w:t>drs. C. van Nieuwenhuizen Wijbenga</w:t>
      </w:r>
    </w:p>
    <w:sectPr w:rsidR="00A65404">
      <w:headerReference w:type="default" r:id="rId7"/>
      <w:headerReference w:type="first" r:id="rId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A6E" w:rsidRDefault="00A07A6E">
      <w:pPr>
        <w:spacing w:line="240" w:lineRule="auto"/>
      </w:pPr>
      <w:r>
        <w:separator/>
      </w:r>
    </w:p>
  </w:endnote>
  <w:endnote w:type="continuationSeparator" w:id="0">
    <w:p w:rsidR="00A07A6E" w:rsidRDefault="00A07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A6E" w:rsidRDefault="00A07A6E">
      <w:pPr>
        <w:spacing w:line="240" w:lineRule="auto"/>
      </w:pPr>
      <w:r>
        <w:separator/>
      </w:r>
    </w:p>
  </w:footnote>
  <w:footnote w:type="continuationSeparator" w:id="0">
    <w:p w:rsidR="00A07A6E" w:rsidRDefault="00A07A6E">
      <w:pPr>
        <w:spacing w:line="240" w:lineRule="auto"/>
      </w:pPr>
      <w:r>
        <w:continuationSeparator/>
      </w:r>
    </w:p>
  </w:footnote>
  <w:footnote w:id="1">
    <w:p w:rsidR="00740AE3" w:rsidRPr="00022E41" w:rsidRDefault="00740AE3" w:rsidP="00740AE3">
      <w:pPr>
        <w:pStyle w:val="FootnoteText"/>
        <w:rPr>
          <w:sz w:val="14"/>
          <w:szCs w:val="14"/>
        </w:rPr>
      </w:pPr>
      <w:r>
        <w:rPr>
          <w:rStyle w:val="FootnoteReference"/>
        </w:rPr>
        <w:footnoteRef/>
      </w:r>
      <w:r>
        <w:t xml:space="preserve"> </w:t>
      </w:r>
      <w:r w:rsidRPr="00022E41">
        <w:rPr>
          <w:rFonts w:eastAsiaTheme="minorHAnsi" w:cstheme="minorBidi"/>
          <w:sz w:val="14"/>
          <w:szCs w:val="14"/>
        </w:rPr>
        <w:t>Antwoord op vragen van het lid Van Brenk (50PLUS) aan de Minister van Infrastructuur en Waterstaat over het artikel ‘Leiding Waternet verzwijgt vernietigende veiligheidstest’, ontvangen 10 november 2020. Vergaderjaar 2020-2021, kenmerk AH 750, 2020Z20474.</w:t>
      </w:r>
    </w:p>
  </w:footnote>
  <w:footnote w:id="2">
    <w:p w:rsidR="00740AE3" w:rsidRDefault="00740AE3" w:rsidP="00740AE3">
      <w:pPr>
        <w:pStyle w:val="FootnoteText"/>
      </w:pPr>
      <w:r w:rsidRPr="00022E41">
        <w:rPr>
          <w:rStyle w:val="FootnoteReference"/>
          <w:sz w:val="14"/>
          <w:szCs w:val="14"/>
        </w:rPr>
        <w:footnoteRef/>
      </w:r>
      <w:r w:rsidRPr="00022E41">
        <w:rPr>
          <w:sz w:val="14"/>
          <w:szCs w:val="14"/>
        </w:rPr>
        <w:t xml:space="preserve"> Antwoord op vragen van het lid Van Brenk (50PLUS) over het artikel 'Leiding Waternet probeert verantwoordelijkheid voor digitaal wanbeleid te lozen', ontvangen 5 maart 2021. Vergaderjaar 2020-2021, kenmerk AH 1910, 2021Z02810.</w:t>
      </w:r>
    </w:p>
  </w:footnote>
  <w:footnote w:id="3">
    <w:p w:rsidR="00091BB8" w:rsidRDefault="00091BB8" w:rsidP="00091BB8">
      <w:pPr>
        <w:pStyle w:val="FootnoteText"/>
      </w:pPr>
      <w:r>
        <w:rPr>
          <w:rStyle w:val="FootnoteReference"/>
        </w:rPr>
        <w:footnoteRef/>
      </w:r>
      <w:r>
        <w:t xml:space="preserve"> </w:t>
      </w:r>
      <w:r w:rsidRPr="009B03BC">
        <w:rPr>
          <w:sz w:val="16"/>
          <w:szCs w:val="16"/>
        </w:rPr>
        <w:t>Tweede Kamer, vergaderjaar 2019-2020, 27 625, nr. 507 en 522</w:t>
      </w:r>
    </w:p>
  </w:footnote>
  <w:footnote w:id="4">
    <w:p w:rsidR="00091BB8" w:rsidRDefault="00091BB8" w:rsidP="00091BB8">
      <w:pPr>
        <w:pStyle w:val="FootnoteText"/>
      </w:pPr>
      <w:r>
        <w:rPr>
          <w:rStyle w:val="FootnoteReference"/>
        </w:rPr>
        <w:footnoteRef/>
      </w:r>
      <w:r>
        <w:t xml:space="preserve"> </w:t>
      </w:r>
      <w:r w:rsidRPr="009B03BC">
        <w:rPr>
          <w:sz w:val="16"/>
          <w:szCs w:val="16"/>
        </w:rPr>
        <w:t>10 juni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04" w:rsidRDefault="00114284">
    <w:pPr>
      <w:pStyle w:val="MarginlessContainer"/>
    </w:pPr>
    <w:r>
      <w:rPr>
        <w:noProof/>
        <w:lang w:val="en-GB" w:eastAsia="en-GB"/>
      </w:rPr>
      <mc:AlternateContent>
        <mc:Choice Requires="wps">
          <w:drawing>
            <wp:anchor distT="0" distB="0" distL="0" distR="0" simplePos="0" relativeHeight="251651584" behindDoc="0" locked="1" layoutInCell="1" allowOverlap="1">
              <wp:simplePos x="0" y="0"/>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rsidR="00A65404" w:rsidRDefault="00114284">
                          <w:pPr>
                            <w:pStyle w:val="AfzendgegevensKop0"/>
                          </w:pPr>
                          <w:r>
                            <w:t>Ministerie van Infrastructuur en Waterstaat</w:t>
                          </w:r>
                        </w:p>
                        <w:p w:rsidR="00A65404" w:rsidRDefault="00A65404">
                          <w:pPr>
                            <w:pStyle w:val="WitregelW2"/>
                          </w:pPr>
                        </w:p>
                        <w:p w:rsidR="00010CB3" w:rsidRDefault="00010CB3" w:rsidP="00010CB3">
                          <w:pPr>
                            <w:pStyle w:val="Referentiegegevenskop"/>
                          </w:pPr>
                          <w:r>
                            <w:t>Ons kenmerk</w:t>
                          </w:r>
                        </w:p>
                        <w:p w:rsidR="00010CB3" w:rsidRDefault="00010CB3" w:rsidP="00010CB3">
                          <w:pPr>
                            <w:pStyle w:val="Referentiegegevens"/>
                          </w:pPr>
                          <w:r>
                            <w:t>ILT-2021/19822</w:t>
                          </w:r>
                        </w:p>
                        <w:p w:rsidR="00A65404" w:rsidRDefault="00A65404" w:rsidP="00010CB3">
                          <w:pPr>
                            <w:pStyle w:val="Referentiegegevenskop"/>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rsidR="00A65404" w:rsidRDefault="00114284">
                    <w:pPr>
                      <w:pStyle w:val="AfzendgegevensKop0"/>
                    </w:pPr>
                    <w:r>
                      <w:t>Ministerie van Infrastructuur en Waterstaat</w:t>
                    </w:r>
                  </w:p>
                  <w:p w:rsidR="00A65404" w:rsidRDefault="00A65404">
                    <w:pPr>
                      <w:pStyle w:val="WitregelW2"/>
                    </w:pPr>
                  </w:p>
                  <w:p w:rsidR="00010CB3" w:rsidRDefault="00010CB3" w:rsidP="00010CB3">
                    <w:pPr>
                      <w:pStyle w:val="Referentiegegevenskop"/>
                    </w:pPr>
                    <w:r>
                      <w:t>Ons kenmerk</w:t>
                    </w:r>
                  </w:p>
                  <w:p w:rsidR="00010CB3" w:rsidRDefault="00010CB3" w:rsidP="00010CB3">
                    <w:pPr>
                      <w:pStyle w:val="Referentiegegevens"/>
                    </w:pPr>
                    <w:r>
                      <w:t>ILT-2021/19822</w:t>
                    </w:r>
                  </w:p>
                  <w:p w:rsidR="00A65404" w:rsidRDefault="00A65404" w:rsidP="00010CB3">
                    <w:pPr>
                      <w:pStyle w:val="Referentiegegevenskop"/>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A65404" w:rsidRDefault="00114284">
                          <w:pPr>
                            <w:pStyle w:val="Referentiegegevens"/>
                          </w:pPr>
                          <w:r>
                            <w:t xml:space="preserve">Pagina </w:t>
                          </w:r>
                          <w:r>
                            <w:fldChar w:fldCharType="begin"/>
                          </w:r>
                          <w:r>
                            <w:instrText>PAGE</w:instrText>
                          </w:r>
                          <w:r>
                            <w:fldChar w:fldCharType="separate"/>
                          </w:r>
                          <w:r w:rsidR="00CC4C7D">
                            <w:rPr>
                              <w:noProof/>
                            </w:rPr>
                            <w:t>2</w:t>
                          </w:r>
                          <w:r>
                            <w:fldChar w:fldCharType="end"/>
                          </w:r>
                          <w:r>
                            <w:t xml:space="preserve"> van </w:t>
                          </w:r>
                          <w:r>
                            <w:fldChar w:fldCharType="begin"/>
                          </w:r>
                          <w:r>
                            <w:instrText>NUMPAGES</w:instrText>
                          </w:r>
                          <w:r>
                            <w:fldChar w:fldCharType="separate"/>
                          </w:r>
                          <w:r w:rsidR="00CC4C7D">
                            <w:rPr>
                              <w:noProof/>
                            </w:rPr>
                            <w:t>2</w:t>
                          </w:r>
                          <w:r>
                            <w:fldChar w:fldCharType="end"/>
                          </w:r>
                        </w:p>
                      </w:txbxContent>
                    </wps:txbx>
                    <wps:bodyPr vert="horz" wrap="square" lIns="0" tIns="0" rIns="0" bIns="0" anchor="t" anchorCtr="0"/>
                  </wps:wsp>
                </a:graphicData>
              </a:graphic>
            </wp:anchor>
          </w:drawing>
        </mc:Choice>
        <mc:Fallback>
          <w:pict>
            <v:shap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rsidR="00A65404" w:rsidRDefault="00114284">
                    <w:pPr>
                      <w:pStyle w:val="Referentiegegevens"/>
                    </w:pPr>
                    <w:r>
                      <w:t xml:space="preserve">Pagina </w:t>
                    </w:r>
                    <w:r>
                      <w:fldChar w:fldCharType="begin"/>
                    </w:r>
                    <w:r>
                      <w:instrText>PAGE</w:instrText>
                    </w:r>
                    <w:r>
                      <w:fldChar w:fldCharType="separate"/>
                    </w:r>
                    <w:r w:rsidR="00CC4C7D">
                      <w:rPr>
                        <w:noProof/>
                      </w:rPr>
                      <w:t>2</w:t>
                    </w:r>
                    <w:r>
                      <w:fldChar w:fldCharType="end"/>
                    </w:r>
                    <w:r>
                      <w:t xml:space="preserve"> van </w:t>
                    </w:r>
                    <w:r>
                      <w:fldChar w:fldCharType="begin"/>
                    </w:r>
                    <w:r>
                      <w:instrText>NUMPAGES</w:instrText>
                    </w:r>
                    <w:r>
                      <w:fldChar w:fldCharType="separate"/>
                    </w:r>
                    <w:r w:rsidR="00CC4C7D">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simplePos x="0" y="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rsidR="0025473A" w:rsidRDefault="0025473A"/>
                      </w:txbxContent>
                    </wps:txbx>
                    <wps:bodyPr vert="horz" wrap="square" lIns="0" tIns="0" rIns="0" bIns="0" anchor="t" anchorCtr="0"/>
                  </wps:wsp>
                </a:graphicData>
              </a:graphic>
            </wp:anchor>
          </w:drawing>
        </mc:Choice>
        <mc:Fallback>
          <w:pict>
            <v:shape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rsidR="0025473A" w:rsidRDefault="0025473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simplePos x="0" y="0"/>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rsidR="0025473A" w:rsidRDefault="0025473A"/>
                      </w:txbxContent>
                    </wps:txbx>
                    <wps:bodyPr vert="horz" wrap="square" lIns="0" tIns="0" rIns="0" bIns="0" anchor="t" anchorCtr="0"/>
                  </wps:wsp>
                </a:graphicData>
              </a:graphic>
            </wp:anchor>
          </w:drawing>
        </mc:Choice>
        <mc:Fallback>
          <w:pict>
            <v:shape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rsidR="0025473A" w:rsidRDefault="0025473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04" w:rsidRDefault="00114284">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rsidR="0025473A" w:rsidRDefault="0025473A"/>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rsidR="0025473A" w:rsidRDefault="0025473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A65404" w:rsidRDefault="00114284">
                          <w:pPr>
                            <w:pStyle w:val="Referentiegegevens"/>
                          </w:pPr>
                          <w:r>
                            <w:t xml:space="preserve">Pagina </w:t>
                          </w:r>
                          <w:r>
                            <w:fldChar w:fldCharType="begin"/>
                          </w:r>
                          <w:r>
                            <w:instrText>PAGE</w:instrText>
                          </w:r>
                          <w:r>
                            <w:fldChar w:fldCharType="separate"/>
                          </w:r>
                          <w:r w:rsidR="00605310">
                            <w:rPr>
                              <w:noProof/>
                            </w:rPr>
                            <w:t>1</w:t>
                          </w:r>
                          <w:r>
                            <w:fldChar w:fldCharType="end"/>
                          </w:r>
                          <w:r>
                            <w:t xml:space="preserve"> van </w:t>
                          </w:r>
                          <w:r>
                            <w:fldChar w:fldCharType="begin"/>
                          </w:r>
                          <w:r>
                            <w:instrText>NUMPAGES</w:instrText>
                          </w:r>
                          <w:r>
                            <w:fldChar w:fldCharType="separate"/>
                          </w:r>
                          <w:r w:rsidR="00605310">
                            <w:rPr>
                              <w:noProof/>
                            </w:rPr>
                            <w:t>1</w:t>
                          </w:r>
                          <w:r>
                            <w:fldChar w:fldCharType="end"/>
                          </w:r>
                        </w:p>
                      </w:txbxContent>
                    </wps:txbx>
                    <wps:bodyPr vert="horz" wrap="square" lIns="0" tIns="0" rIns="0" bIns="0" anchor="t" anchorCtr="0"/>
                  </wps:wsp>
                </a:graphicData>
              </a:graphic>
            </wp:anchor>
          </w:drawing>
        </mc:Choice>
        <mc:Fallback>
          <w:pict>
            <v:shap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rsidR="00A65404" w:rsidRDefault="00114284">
                    <w:pPr>
                      <w:pStyle w:val="Referentiegegevens"/>
                    </w:pPr>
                    <w:r>
                      <w:t xml:space="preserve">Pagina </w:t>
                    </w:r>
                    <w:r>
                      <w:fldChar w:fldCharType="begin"/>
                    </w:r>
                    <w:r>
                      <w:instrText>PAGE</w:instrText>
                    </w:r>
                    <w:r>
                      <w:fldChar w:fldCharType="separate"/>
                    </w:r>
                    <w:r w:rsidR="00605310">
                      <w:rPr>
                        <w:noProof/>
                      </w:rPr>
                      <w:t>1</w:t>
                    </w:r>
                    <w:r>
                      <w:fldChar w:fldCharType="end"/>
                    </w:r>
                    <w:r>
                      <w:t xml:space="preserve"> van </w:t>
                    </w:r>
                    <w:r>
                      <w:fldChar w:fldCharType="begin"/>
                    </w:r>
                    <w:r>
                      <w:instrText>NUMPAGES</w:instrText>
                    </w:r>
                    <w:r>
                      <w:fldChar w:fldCharType="separate"/>
                    </w:r>
                    <w:r w:rsidR="0060531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A65404" w:rsidRDefault="00114284">
                          <w:pPr>
                            <w:pStyle w:val="AfzendgegevensKop0"/>
                          </w:pPr>
                          <w:r>
                            <w:t>Ministerie van Infrastructuur en Waterstaat</w:t>
                          </w:r>
                        </w:p>
                        <w:p w:rsidR="00A65404" w:rsidRDefault="00A65404">
                          <w:pPr>
                            <w:pStyle w:val="WitregelW1"/>
                          </w:pPr>
                        </w:p>
                        <w:p w:rsidR="00A65404" w:rsidRDefault="00114284">
                          <w:pPr>
                            <w:pStyle w:val="Afzendgegevens"/>
                          </w:pPr>
                          <w:r>
                            <w:t>Rijnstraat 8</w:t>
                          </w:r>
                        </w:p>
                        <w:p w:rsidR="00A65404" w:rsidRPr="00740AE3" w:rsidRDefault="00114284">
                          <w:pPr>
                            <w:pStyle w:val="Afzendgegevens"/>
                            <w:rPr>
                              <w:lang w:val="de-DE"/>
                            </w:rPr>
                          </w:pPr>
                          <w:r w:rsidRPr="00740AE3">
                            <w:rPr>
                              <w:lang w:val="de-DE"/>
                            </w:rPr>
                            <w:t>2515 XP  Den Haag</w:t>
                          </w:r>
                        </w:p>
                        <w:p w:rsidR="00A65404" w:rsidRPr="00740AE3" w:rsidRDefault="00114284">
                          <w:pPr>
                            <w:pStyle w:val="Afzendgegevens"/>
                            <w:rPr>
                              <w:lang w:val="de-DE"/>
                            </w:rPr>
                          </w:pPr>
                          <w:r w:rsidRPr="00740AE3">
                            <w:rPr>
                              <w:lang w:val="de-DE"/>
                            </w:rPr>
                            <w:t>Postbus 20901</w:t>
                          </w:r>
                        </w:p>
                        <w:p w:rsidR="00A65404" w:rsidRPr="00740AE3" w:rsidRDefault="00114284">
                          <w:pPr>
                            <w:pStyle w:val="Afzendgegevens"/>
                            <w:rPr>
                              <w:lang w:val="de-DE"/>
                            </w:rPr>
                          </w:pPr>
                          <w:r w:rsidRPr="00740AE3">
                            <w:rPr>
                              <w:lang w:val="de-DE"/>
                            </w:rPr>
                            <w:t>2500 EX Den Haag</w:t>
                          </w:r>
                        </w:p>
                        <w:p w:rsidR="00A65404" w:rsidRPr="00740AE3" w:rsidRDefault="00A65404">
                          <w:pPr>
                            <w:pStyle w:val="WitregelW1"/>
                            <w:rPr>
                              <w:lang w:val="de-DE"/>
                            </w:rPr>
                          </w:pPr>
                        </w:p>
                        <w:p w:rsidR="00A65404" w:rsidRPr="00740AE3" w:rsidRDefault="00114284">
                          <w:pPr>
                            <w:pStyle w:val="Afzendgegevens"/>
                            <w:rPr>
                              <w:lang w:val="de-DE"/>
                            </w:rPr>
                          </w:pPr>
                          <w:r w:rsidRPr="00740AE3">
                            <w:rPr>
                              <w:lang w:val="de-DE"/>
                            </w:rPr>
                            <w:t>T   070-456 0000</w:t>
                          </w:r>
                        </w:p>
                        <w:p w:rsidR="00A65404" w:rsidRDefault="00114284">
                          <w:pPr>
                            <w:pStyle w:val="Afzendgegevens"/>
                          </w:pPr>
                          <w:r>
                            <w:t>F   070-456 1111</w:t>
                          </w:r>
                        </w:p>
                        <w:p w:rsidR="00A65404" w:rsidRDefault="00A65404">
                          <w:pPr>
                            <w:pStyle w:val="WitregelW2"/>
                          </w:pPr>
                        </w:p>
                        <w:p w:rsidR="00A65404" w:rsidRDefault="00114284">
                          <w:pPr>
                            <w:pStyle w:val="Referentiegegevenskop"/>
                          </w:pPr>
                          <w:r>
                            <w:t>Ons kenmerk</w:t>
                          </w:r>
                        </w:p>
                        <w:p w:rsidR="00A65404" w:rsidRDefault="00010CB3">
                          <w:pPr>
                            <w:pStyle w:val="Referentiegegevens"/>
                          </w:pPr>
                          <w:r>
                            <w:t>ILT-2021/19822</w:t>
                          </w:r>
                        </w:p>
                        <w:p w:rsidR="00010CB3" w:rsidRPr="00010CB3" w:rsidRDefault="00010CB3" w:rsidP="00010CB3"/>
                        <w:p w:rsidR="00A65404" w:rsidRDefault="00A65404">
                          <w:pPr>
                            <w:pStyle w:val="WitregelW1"/>
                          </w:pPr>
                        </w:p>
                        <w:p w:rsidR="00A65404" w:rsidRDefault="00114284">
                          <w:pPr>
                            <w:pStyle w:val="Referentiegegevenskop"/>
                          </w:pPr>
                          <w:r>
                            <w:t>Bijlage(n)</w:t>
                          </w:r>
                        </w:p>
                        <w:p w:rsidR="00A65404" w:rsidRDefault="00114284">
                          <w:pPr>
                            <w:pStyle w:val="Referentiegegevens"/>
                          </w:pPr>
                          <w:r>
                            <w:t>1</w:t>
                          </w:r>
                        </w:p>
                      </w:txbxContent>
                    </wps:txbx>
                    <wps:bodyPr vert="horz" wrap="square" lIns="0" tIns="0" rIns="0" bIns="0" anchor="t" anchorCtr="0"/>
                  </wps:wsp>
                </a:graphicData>
              </a:graphic>
            </wp:anchor>
          </w:drawing>
        </mc:Choice>
        <mc:Fallback>
          <w:pict>
            <v:shap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rsidR="00A65404" w:rsidRDefault="00114284">
                    <w:pPr>
                      <w:pStyle w:val="AfzendgegevensKop0"/>
                    </w:pPr>
                    <w:r>
                      <w:t>Ministerie van Infrastructuur en Waterstaat</w:t>
                    </w:r>
                  </w:p>
                  <w:p w:rsidR="00A65404" w:rsidRDefault="00A65404">
                    <w:pPr>
                      <w:pStyle w:val="WitregelW1"/>
                    </w:pPr>
                  </w:p>
                  <w:p w:rsidR="00A65404" w:rsidRDefault="00114284">
                    <w:pPr>
                      <w:pStyle w:val="Afzendgegevens"/>
                    </w:pPr>
                    <w:r>
                      <w:t>Rijnstraat 8</w:t>
                    </w:r>
                  </w:p>
                  <w:p w:rsidR="00A65404" w:rsidRPr="00740AE3" w:rsidRDefault="00114284">
                    <w:pPr>
                      <w:pStyle w:val="Afzendgegevens"/>
                      <w:rPr>
                        <w:lang w:val="de-DE"/>
                      </w:rPr>
                    </w:pPr>
                    <w:r w:rsidRPr="00740AE3">
                      <w:rPr>
                        <w:lang w:val="de-DE"/>
                      </w:rPr>
                      <w:t>2515 XP  Den Haag</w:t>
                    </w:r>
                  </w:p>
                  <w:p w:rsidR="00A65404" w:rsidRPr="00740AE3" w:rsidRDefault="00114284">
                    <w:pPr>
                      <w:pStyle w:val="Afzendgegevens"/>
                      <w:rPr>
                        <w:lang w:val="de-DE"/>
                      </w:rPr>
                    </w:pPr>
                    <w:r w:rsidRPr="00740AE3">
                      <w:rPr>
                        <w:lang w:val="de-DE"/>
                      </w:rPr>
                      <w:t>Postbus 20901</w:t>
                    </w:r>
                  </w:p>
                  <w:p w:rsidR="00A65404" w:rsidRPr="00740AE3" w:rsidRDefault="00114284">
                    <w:pPr>
                      <w:pStyle w:val="Afzendgegevens"/>
                      <w:rPr>
                        <w:lang w:val="de-DE"/>
                      </w:rPr>
                    </w:pPr>
                    <w:r w:rsidRPr="00740AE3">
                      <w:rPr>
                        <w:lang w:val="de-DE"/>
                      </w:rPr>
                      <w:t>2500 EX Den Haag</w:t>
                    </w:r>
                  </w:p>
                  <w:p w:rsidR="00A65404" w:rsidRPr="00740AE3" w:rsidRDefault="00A65404">
                    <w:pPr>
                      <w:pStyle w:val="WitregelW1"/>
                      <w:rPr>
                        <w:lang w:val="de-DE"/>
                      </w:rPr>
                    </w:pPr>
                  </w:p>
                  <w:p w:rsidR="00A65404" w:rsidRPr="00740AE3" w:rsidRDefault="00114284">
                    <w:pPr>
                      <w:pStyle w:val="Afzendgegevens"/>
                      <w:rPr>
                        <w:lang w:val="de-DE"/>
                      </w:rPr>
                    </w:pPr>
                    <w:r w:rsidRPr="00740AE3">
                      <w:rPr>
                        <w:lang w:val="de-DE"/>
                      </w:rPr>
                      <w:t>T   070-456 0000</w:t>
                    </w:r>
                  </w:p>
                  <w:p w:rsidR="00A65404" w:rsidRDefault="00114284">
                    <w:pPr>
                      <w:pStyle w:val="Afzendgegevens"/>
                    </w:pPr>
                    <w:r>
                      <w:t>F   070-456 1111</w:t>
                    </w:r>
                  </w:p>
                  <w:p w:rsidR="00A65404" w:rsidRDefault="00A65404">
                    <w:pPr>
                      <w:pStyle w:val="WitregelW2"/>
                    </w:pPr>
                  </w:p>
                  <w:p w:rsidR="00A65404" w:rsidRDefault="00114284">
                    <w:pPr>
                      <w:pStyle w:val="Referentiegegevenskop"/>
                    </w:pPr>
                    <w:r>
                      <w:t>Ons kenmerk</w:t>
                    </w:r>
                  </w:p>
                  <w:p w:rsidR="00A65404" w:rsidRDefault="00010CB3">
                    <w:pPr>
                      <w:pStyle w:val="Referentiegegevens"/>
                    </w:pPr>
                    <w:r>
                      <w:t>ILT-2021/19822</w:t>
                    </w:r>
                  </w:p>
                  <w:p w:rsidR="00010CB3" w:rsidRPr="00010CB3" w:rsidRDefault="00010CB3" w:rsidP="00010CB3"/>
                  <w:p w:rsidR="00A65404" w:rsidRDefault="00A65404">
                    <w:pPr>
                      <w:pStyle w:val="WitregelW1"/>
                    </w:pPr>
                  </w:p>
                  <w:p w:rsidR="00A65404" w:rsidRDefault="00114284">
                    <w:pPr>
                      <w:pStyle w:val="Referentiegegevenskop"/>
                    </w:pPr>
                    <w:r>
                      <w:t>Bijlage(n)</w:t>
                    </w:r>
                  </w:p>
                  <w:p w:rsidR="00A65404" w:rsidRDefault="00114284">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25473A" w:rsidRDefault="0025473A"/>
                      </w:txbxContent>
                    </wps:txbx>
                    <wps:bodyPr vert="horz" wrap="square" lIns="0" tIns="0" rIns="0" bIns="0" anchor="t" anchorCtr="0"/>
                  </wps:wsp>
                </a:graphicData>
              </a:graphic>
            </wp:anchor>
          </w:drawing>
        </mc:Choice>
        <mc:Fallback>
          <w:pict>
            <v:shape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rsidR="0025473A" w:rsidRDefault="0025473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A65404" w:rsidRDefault="00114284">
                          <w:pPr>
                            <w:pStyle w:val="MarginlessContainer"/>
                          </w:pPr>
                          <w:r>
                            <w:rPr>
                              <w:noProof/>
                              <w:lang w:val="en-GB" w:eastAsia="en-GB"/>
                            </w:rPr>
                            <w:drawing>
                              <wp:inline distT="0" distB="0" distL="0" distR="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rsidR="00A65404" w:rsidRDefault="00114284">
                    <w:pPr>
                      <w:pStyle w:val="MarginlessContainer"/>
                    </w:pPr>
                    <w:r>
                      <w:rPr>
                        <w:noProof/>
                        <w:lang w:val="en-GB" w:eastAsia="en-GB"/>
                      </w:rPr>
                      <w:drawing>
                        <wp:inline distT="0" distB="0" distL="0" distR="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rsidR="00A65404" w:rsidRDefault="00114284">
                          <w:pPr>
                            <w:pStyle w:val="Referentiegegevens"/>
                          </w:pPr>
                          <w:r>
                            <w:t>&gt; Retouradres Postbus 20901 2500 EX  Den Haag</w:t>
                          </w:r>
                        </w:p>
                      </w:txbxContent>
                    </wps:txbx>
                    <wps:bodyPr vert="horz" wrap="square" lIns="0" tIns="0" rIns="0" bIns="0" anchor="t" anchorCtr="0"/>
                  </wps:wsp>
                </a:graphicData>
              </a:graphic>
            </wp:anchor>
          </w:drawing>
        </mc:Choice>
        <mc:Fallback>
          <w:pict>
            <v:shap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rsidR="00A65404" w:rsidRDefault="0011428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A65404" w:rsidRDefault="00114284">
                          <w:r>
                            <w:t>De voorzitter van de Tweede Kamer</w:t>
                          </w:r>
                          <w:r>
                            <w:br/>
                            <w:t>der Staten-Generaal</w:t>
                          </w:r>
                          <w:r>
                            <w:br/>
                            <w:t>Binnenhof 4</w:t>
                          </w:r>
                          <w:r>
                            <w:br/>
                            <w:t>2513 AA  DEN HAAG</w:t>
                          </w:r>
                        </w:p>
                      </w:txbxContent>
                    </wps:txbx>
                    <wps:bodyPr vert="horz" wrap="square" lIns="0" tIns="0" rIns="0" bIns="0" anchor="t" anchorCtr="0"/>
                  </wps:wsp>
                </a:graphicData>
              </a:graphic>
            </wp:anchor>
          </w:drawing>
        </mc:Choice>
        <mc:Fallback>
          <w:pict>
            <v:shape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3WPLErIBAABCAwAADgAAAAAAAAAAAAAAAAAuAgAAZHJzL2Uyb0Rv&#10;Yy54bWxQSwECLQAUAAYACAAAACEAlu0FFuAAAAALAQAADwAAAAAAAAAAAAAAAAAMBAAAZHJzL2Rv&#10;d25yZXYueG1sUEsFBgAAAAAEAAQA8wAAABkFAAAAAA==&#10;" filled="f" stroked="f">
              <v:textbox inset="0,0,0,0">
                <w:txbxContent>
                  <w:p w:rsidR="00A65404" w:rsidRDefault="00114284">
                    <w:r>
                      <w:t>De voorzitter van de Tweede Kamer</w:t>
                    </w:r>
                    <w:r>
                      <w:br/>
                      <w:t>der Staten-Generaal</w:t>
                    </w:r>
                    <w:r>
                      <w:br/>
                      <w:t>Binnenhof 4</w:t>
                    </w:r>
                    <w:r>
                      <w:br/>
                      <w:t>2513 AA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3635375</wp:posOffset>
              </wp:positionV>
              <wp:extent cx="4105275" cy="629920"/>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65404">
                            <w:trPr>
                              <w:trHeight w:val="200"/>
                            </w:trPr>
                            <w:tc>
                              <w:tcPr>
                                <w:tcW w:w="1140" w:type="dxa"/>
                              </w:tcPr>
                              <w:p w:rsidR="00A65404" w:rsidRDefault="00A65404"/>
                            </w:tc>
                            <w:tc>
                              <w:tcPr>
                                <w:tcW w:w="5400" w:type="dxa"/>
                              </w:tcPr>
                              <w:p w:rsidR="00A65404" w:rsidRDefault="00A65404"/>
                            </w:tc>
                          </w:tr>
                          <w:tr w:rsidR="00A65404">
                            <w:trPr>
                              <w:trHeight w:val="240"/>
                            </w:trPr>
                            <w:tc>
                              <w:tcPr>
                                <w:tcW w:w="1140" w:type="dxa"/>
                              </w:tcPr>
                              <w:p w:rsidR="00A65404" w:rsidRDefault="00114284">
                                <w:r>
                                  <w:t>Datum</w:t>
                                </w:r>
                              </w:p>
                            </w:tc>
                            <w:tc>
                              <w:tcPr>
                                <w:tcW w:w="5400" w:type="dxa"/>
                              </w:tcPr>
                              <w:p w:rsidR="00A65404" w:rsidRDefault="00010CB3">
                                <w:r>
                                  <w:t>2 april 2021</w:t>
                                </w:r>
                              </w:p>
                            </w:tc>
                          </w:tr>
                          <w:tr w:rsidR="00A65404">
                            <w:trPr>
                              <w:trHeight w:val="240"/>
                            </w:trPr>
                            <w:tc>
                              <w:tcPr>
                                <w:tcW w:w="1140" w:type="dxa"/>
                              </w:tcPr>
                              <w:p w:rsidR="00A65404" w:rsidRDefault="00114284">
                                <w:r>
                                  <w:t>Betreft</w:t>
                                </w:r>
                              </w:p>
                            </w:tc>
                            <w:tc>
                              <w:tcPr>
                                <w:tcW w:w="5400" w:type="dxa"/>
                              </w:tcPr>
                              <w:p w:rsidR="00A65404" w:rsidRDefault="00114284">
                                <w:r>
                                  <w:t>ILT Onderzoeksrapport Stichting Waternet</w:t>
                                </w:r>
                              </w:p>
                            </w:tc>
                          </w:tr>
                          <w:tr w:rsidR="00A65404">
                            <w:trPr>
                              <w:trHeight w:val="200"/>
                            </w:trPr>
                            <w:tc>
                              <w:tcPr>
                                <w:tcW w:w="1140" w:type="dxa"/>
                              </w:tcPr>
                              <w:p w:rsidR="00A65404" w:rsidRDefault="00A65404"/>
                            </w:tc>
                            <w:tc>
                              <w:tcPr>
                                <w:tcW w:w="5400" w:type="dxa"/>
                              </w:tcPr>
                              <w:p w:rsidR="00A65404" w:rsidRDefault="00A65404"/>
                            </w:tc>
                          </w:tr>
                        </w:tbl>
                        <w:p w:rsidR="0025473A" w:rsidRDefault="0025473A"/>
                      </w:txbxContent>
                    </wps:txbx>
                    <wps:bodyPr vert="horz" wrap="square" lIns="0" tIns="0" rIns="0" bIns="0" anchor="t" anchorCtr="0"/>
                  </wps:wsp>
                </a:graphicData>
              </a:graphic>
            </wp:anchor>
          </w:drawing>
        </mc:Choice>
        <mc:Fallback>
          <w:pict>
            <v:shape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EtJuZutAQAAQA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A65404">
                      <w:trPr>
                        <w:trHeight w:val="200"/>
                      </w:trPr>
                      <w:tc>
                        <w:tcPr>
                          <w:tcW w:w="1140" w:type="dxa"/>
                        </w:tcPr>
                        <w:p w:rsidR="00A65404" w:rsidRDefault="00A65404"/>
                      </w:tc>
                      <w:tc>
                        <w:tcPr>
                          <w:tcW w:w="5400" w:type="dxa"/>
                        </w:tcPr>
                        <w:p w:rsidR="00A65404" w:rsidRDefault="00A65404"/>
                      </w:tc>
                    </w:tr>
                    <w:tr w:rsidR="00A65404">
                      <w:trPr>
                        <w:trHeight w:val="240"/>
                      </w:trPr>
                      <w:tc>
                        <w:tcPr>
                          <w:tcW w:w="1140" w:type="dxa"/>
                        </w:tcPr>
                        <w:p w:rsidR="00A65404" w:rsidRDefault="00114284">
                          <w:r>
                            <w:t>Datum</w:t>
                          </w:r>
                        </w:p>
                      </w:tc>
                      <w:tc>
                        <w:tcPr>
                          <w:tcW w:w="5400" w:type="dxa"/>
                        </w:tcPr>
                        <w:p w:rsidR="00A65404" w:rsidRDefault="00010CB3">
                          <w:r>
                            <w:t>2 april 2021</w:t>
                          </w:r>
                        </w:p>
                      </w:tc>
                    </w:tr>
                    <w:tr w:rsidR="00A65404">
                      <w:trPr>
                        <w:trHeight w:val="240"/>
                      </w:trPr>
                      <w:tc>
                        <w:tcPr>
                          <w:tcW w:w="1140" w:type="dxa"/>
                        </w:tcPr>
                        <w:p w:rsidR="00A65404" w:rsidRDefault="00114284">
                          <w:r>
                            <w:t>Betreft</w:t>
                          </w:r>
                        </w:p>
                      </w:tc>
                      <w:tc>
                        <w:tcPr>
                          <w:tcW w:w="5400" w:type="dxa"/>
                        </w:tcPr>
                        <w:p w:rsidR="00A65404" w:rsidRDefault="00114284">
                          <w:r>
                            <w:t>ILT Onderzoeksrapport Stichting Waternet</w:t>
                          </w:r>
                        </w:p>
                      </w:tc>
                    </w:tr>
                    <w:tr w:rsidR="00A65404">
                      <w:trPr>
                        <w:trHeight w:val="200"/>
                      </w:trPr>
                      <w:tc>
                        <w:tcPr>
                          <w:tcW w:w="1140" w:type="dxa"/>
                        </w:tcPr>
                        <w:p w:rsidR="00A65404" w:rsidRDefault="00A65404"/>
                      </w:tc>
                      <w:tc>
                        <w:tcPr>
                          <w:tcW w:w="5400" w:type="dxa"/>
                        </w:tcPr>
                        <w:p w:rsidR="00A65404" w:rsidRDefault="00A65404"/>
                      </w:tc>
                    </w:tr>
                  </w:tbl>
                  <w:p w:rsidR="0025473A" w:rsidRDefault="0025473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rsidR="0025473A" w:rsidRDefault="0025473A"/>
                      </w:txbxContent>
                    </wps:txbx>
                    <wps:bodyPr vert="horz" wrap="square" lIns="0" tIns="0" rIns="0" bIns="0" anchor="t" anchorCtr="0"/>
                  </wps:wsp>
                </a:graphicData>
              </a:graphic>
            </wp:anchor>
          </w:drawing>
        </mc:Choice>
        <mc:Fallback>
          <w:pict>
            <v:shape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rsidR="0025473A" w:rsidRDefault="002547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E1AE5"/>
    <w:multiLevelType w:val="multilevel"/>
    <w:tmpl w:val="6F2C74C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9C6B1F"/>
    <w:multiLevelType w:val="multilevel"/>
    <w:tmpl w:val="849BCCB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C89DAF"/>
    <w:multiLevelType w:val="multilevel"/>
    <w:tmpl w:val="23E8A4F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55A918B"/>
    <w:multiLevelType w:val="multilevel"/>
    <w:tmpl w:val="1CF8CAF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5EE0E89"/>
    <w:multiLevelType w:val="multilevel"/>
    <w:tmpl w:val="9FE8BB85"/>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6BF2317"/>
    <w:multiLevelType w:val="multilevel"/>
    <w:tmpl w:val="F290BC2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221FF30"/>
    <w:multiLevelType w:val="multilevel"/>
    <w:tmpl w:val="FD900C6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23B6C70"/>
    <w:multiLevelType w:val="multilevel"/>
    <w:tmpl w:val="163A50FD"/>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BC2EE04"/>
    <w:multiLevelType w:val="multilevel"/>
    <w:tmpl w:val="ABEFFD4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AC5855"/>
    <w:multiLevelType w:val="multilevel"/>
    <w:tmpl w:val="50FE40C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C15D72"/>
    <w:multiLevelType w:val="multilevel"/>
    <w:tmpl w:val="BFCD649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2175C8"/>
    <w:multiLevelType w:val="multilevel"/>
    <w:tmpl w:val="EAB892E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E92F73"/>
    <w:multiLevelType w:val="multilevel"/>
    <w:tmpl w:val="6D8C1E0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C23F1"/>
    <w:multiLevelType w:val="multilevel"/>
    <w:tmpl w:val="748A351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78C1ED"/>
    <w:multiLevelType w:val="multilevel"/>
    <w:tmpl w:val="9217C58D"/>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1469F6"/>
    <w:multiLevelType w:val="multilevel"/>
    <w:tmpl w:val="AF6A14D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98B1D6"/>
    <w:multiLevelType w:val="multilevel"/>
    <w:tmpl w:val="3CF84A05"/>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BA32FF"/>
    <w:multiLevelType w:val="multilevel"/>
    <w:tmpl w:val="257FB479"/>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C5E987"/>
    <w:multiLevelType w:val="multilevel"/>
    <w:tmpl w:val="866D7C4C"/>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F0765E"/>
    <w:multiLevelType w:val="multilevel"/>
    <w:tmpl w:val="867F09D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7"/>
  </w:num>
  <w:num w:numId="3">
    <w:abstractNumId w:val="14"/>
  </w:num>
  <w:num w:numId="4">
    <w:abstractNumId w:val="12"/>
  </w:num>
  <w:num w:numId="5">
    <w:abstractNumId w:val="15"/>
  </w:num>
  <w:num w:numId="6">
    <w:abstractNumId w:val="3"/>
  </w:num>
  <w:num w:numId="7">
    <w:abstractNumId w:val="2"/>
  </w:num>
  <w:num w:numId="8">
    <w:abstractNumId w:val="18"/>
  </w:num>
  <w:num w:numId="9">
    <w:abstractNumId w:val="5"/>
  </w:num>
  <w:num w:numId="10">
    <w:abstractNumId w:val="11"/>
  </w:num>
  <w:num w:numId="11">
    <w:abstractNumId w:val="10"/>
  </w:num>
  <w:num w:numId="12">
    <w:abstractNumId w:val="6"/>
  </w:num>
  <w:num w:numId="13">
    <w:abstractNumId w:val="1"/>
  </w:num>
  <w:num w:numId="14">
    <w:abstractNumId w:val="0"/>
  </w:num>
  <w:num w:numId="15">
    <w:abstractNumId w:val="9"/>
  </w:num>
  <w:num w:numId="16">
    <w:abstractNumId w:val="16"/>
  </w:num>
  <w:num w:numId="17">
    <w:abstractNumId w:val="4"/>
  </w:num>
  <w:num w:numId="18">
    <w:abstractNumId w:val="8"/>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E3"/>
    <w:rsid w:val="00010CB3"/>
    <w:rsid w:val="0006209A"/>
    <w:rsid w:val="00091BB8"/>
    <w:rsid w:val="000E3302"/>
    <w:rsid w:val="00114284"/>
    <w:rsid w:val="0015454D"/>
    <w:rsid w:val="0017541B"/>
    <w:rsid w:val="001E2E17"/>
    <w:rsid w:val="0025473A"/>
    <w:rsid w:val="00415CBE"/>
    <w:rsid w:val="00423F76"/>
    <w:rsid w:val="0046764C"/>
    <w:rsid w:val="00531A3D"/>
    <w:rsid w:val="00605310"/>
    <w:rsid w:val="006262F2"/>
    <w:rsid w:val="00740AE3"/>
    <w:rsid w:val="00786463"/>
    <w:rsid w:val="00927027"/>
    <w:rsid w:val="009C5C91"/>
    <w:rsid w:val="00A07A6E"/>
    <w:rsid w:val="00A65404"/>
    <w:rsid w:val="00A770DF"/>
    <w:rsid w:val="00AD3719"/>
    <w:rsid w:val="00B7156D"/>
    <w:rsid w:val="00B72DE6"/>
    <w:rsid w:val="00BF02F4"/>
    <w:rsid w:val="00C51558"/>
    <w:rsid w:val="00CA2A85"/>
    <w:rsid w:val="00CC4C7D"/>
    <w:rsid w:val="00D65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5"/>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740AE3"/>
    <w:pPr>
      <w:spacing w:line="240" w:lineRule="auto"/>
    </w:pPr>
    <w:rPr>
      <w:sz w:val="20"/>
      <w:szCs w:val="20"/>
    </w:rPr>
  </w:style>
  <w:style w:type="character" w:customStyle="1" w:styleId="FootnoteTextChar">
    <w:name w:val="Footnote Text Char"/>
    <w:basedOn w:val="DefaultParagraphFont"/>
    <w:link w:val="FootnoteText"/>
    <w:uiPriority w:val="99"/>
    <w:semiHidden/>
    <w:rsid w:val="00740AE3"/>
    <w:rPr>
      <w:rFonts w:ascii="Verdana" w:hAnsi="Verdana"/>
      <w:color w:val="000000"/>
    </w:rPr>
  </w:style>
  <w:style w:type="character" w:styleId="FootnoteReference">
    <w:name w:val="footnote reference"/>
    <w:uiPriority w:val="99"/>
    <w:semiHidden/>
    <w:unhideWhenUsed/>
    <w:rsid w:val="00740AE3"/>
    <w:rPr>
      <w:vertAlign w:val="superscript"/>
    </w:rPr>
  </w:style>
  <w:style w:type="paragraph" w:styleId="Header">
    <w:name w:val="header"/>
    <w:basedOn w:val="Normal"/>
    <w:link w:val="HeaderChar"/>
    <w:uiPriority w:val="99"/>
    <w:unhideWhenUsed/>
    <w:rsid w:val="00C51558"/>
    <w:pPr>
      <w:tabs>
        <w:tab w:val="center" w:pos="4536"/>
        <w:tab w:val="right" w:pos="9072"/>
      </w:tabs>
      <w:spacing w:line="240" w:lineRule="auto"/>
    </w:pPr>
  </w:style>
  <w:style w:type="character" w:customStyle="1" w:styleId="HeaderChar">
    <w:name w:val="Header Char"/>
    <w:basedOn w:val="DefaultParagraphFont"/>
    <w:link w:val="Header"/>
    <w:uiPriority w:val="99"/>
    <w:rsid w:val="00C51558"/>
    <w:rPr>
      <w:rFonts w:ascii="Verdana" w:hAnsi="Verdana"/>
      <w:color w:val="000000"/>
      <w:sz w:val="18"/>
      <w:szCs w:val="18"/>
    </w:rPr>
  </w:style>
  <w:style w:type="paragraph" w:styleId="Footer">
    <w:name w:val="footer"/>
    <w:basedOn w:val="Normal"/>
    <w:link w:val="FooterChar"/>
    <w:uiPriority w:val="99"/>
    <w:unhideWhenUsed/>
    <w:rsid w:val="00C51558"/>
    <w:pPr>
      <w:tabs>
        <w:tab w:val="center" w:pos="4536"/>
        <w:tab w:val="right" w:pos="9072"/>
      </w:tabs>
      <w:spacing w:line="240" w:lineRule="auto"/>
    </w:pPr>
  </w:style>
  <w:style w:type="character" w:customStyle="1" w:styleId="FooterChar">
    <w:name w:val="Footer Char"/>
    <w:basedOn w:val="DefaultParagraphFont"/>
    <w:link w:val="Footer"/>
    <w:uiPriority w:val="99"/>
    <w:rsid w:val="00C51558"/>
    <w:rPr>
      <w:rFonts w:ascii="Verdana" w:hAnsi="Verdana"/>
      <w:color w:val="000000"/>
      <w:sz w:val="18"/>
      <w:szCs w:val="18"/>
    </w:rPr>
  </w:style>
  <w:style w:type="character" w:styleId="CommentReference">
    <w:name w:val="annotation reference"/>
    <w:basedOn w:val="DefaultParagraphFont"/>
    <w:uiPriority w:val="99"/>
    <w:semiHidden/>
    <w:unhideWhenUsed/>
    <w:rsid w:val="0006209A"/>
    <w:rPr>
      <w:sz w:val="16"/>
      <w:szCs w:val="16"/>
    </w:rPr>
  </w:style>
  <w:style w:type="paragraph" w:styleId="CommentText">
    <w:name w:val="annotation text"/>
    <w:basedOn w:val="Normal"/>
    <w:link w:val="CommentTextChar"/>
    <w:uiPriority w:val="99"/>
    <w:unhideWhenUsed/>
    <w:rsid w:val="0006209A"/>
    <w:pPr>
      <w:spacing w:line="240" w:lineRule="auto"/>
    </w:pPr>
    <w:rPr>
      <w:sz w:val="20"/>
      <w:szCs w:val="20"/>
    </w:rPr>
  </w:style>
  <w:style w:type="character" w:customStyle="1" w:styleId="CommentTextChar">
    <w:name w:val="Comment Text Char"/>
    <w:basedOn w:val="DefaultParagraphFont"/>
    <w:link w:val="CommentText"/>
    <w:uiPriority w:val="99"/>
    <w:rsid w:val="0006209A"/>
    <w:rPr>
      <w:rFonts w:ascii="Verdana" w:hAnsi="Verdana"/>
      <w:color w:val="000000"/>
    </w:rPr>
  </w:style>
  <w:style w:type="paragraph" w:styleId="BalloonText">
    <w:name w:val="Balloon Text"/>
    <w:basedOn w:val="Normal"/>
    <w:link w:val="BalloonTextChar"/>
    <w:uiPriority w:val="99"/>
    <w:semiHidden/>
    <w:unhideWhenUsed/>
    <w:rsid w:val="0006209A"/>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6209A"/>
    <w:rPr>
      <w:rFonts w:ascii="Segoe UI" w:hAnsi="Segoe UI" w:cs="Segoe UI"/>
      <w:color w:val="000000"/>
      <w:sz w:val="18"/>
      <w:szCs w:val="18"/>
    </w:rPr>
  </w:style>
  <w:style w:type="paragraph" w:customStyle="1" w:styleId="Default">
    <w:name w:val="Default"/>
    <w:rsid w:val="0006209A"/>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2021-04-02T13:01:00Z</dcterms:created>
  <dcterms:modified xsi:type="dcterms:W3CDTF">2021-04-02T13:01:00Z</dcterms:modified>
</cp:coreProperties>
</file>